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681BD" w14:textId="00C69907" w:rsidR="006E2695" w:rsidRDefault="006E2695" w:rsidP="00F85A98">
      <w:pPr>
        <w:pStyle w:val="ListParagraph"/>
        <w:numPr>
          <w:ilvl w:val="0"/>
          <w:numId w:val="1"/>
        </w:numPr>
        <w:bidi/>
        <w:spacing w:line="360" w:lineRule="auto"/>
        <w:rPr>
          <w:rFonts w:asciiTheme="majorBidi" w:hAnsiTheme="majorBidi" w:cstheme="majorBidi"/>
          <w:sz w:val="28"/>
          <w:szCs w:val="28"/>
        </w:rPr>
      </w:pPr>
      <w:r w:rsidRPr="00F85A98">
        <w:rPr>
          <w:rFonts w:asciiTheme="majorBidi" w:hAnsiTheme="majorBidi" w:cstheme="majorBidi"/>
          <w:b/>
          <w:bCs/>
          <w:sz w:val="28"/>
          <w:szCs w:val="28"/>
          <w:rtl/>
        </w:rPr>
        <w:t>תלמוד בבלי מסכת שבת דף מ עמוד ב</w:t>
      </w:r>
      <w:r w:rsidRPr="00F85A98">
        <w:rPr>
          <w:rFonts w:asciiTheme="majorBidi" w:hAnsiTheme="majorBidi" w:cstheme="majorBidi"/>
          <w:sz w:val="28"/>
          <w:szCs w:val="28"/>
          <w:rtl/>
        </w:rPr>
        <w:t xml:space="preserve">: </w:t>
      </w:r>
      <w:r w:rsidRPr="00F85A98">
        <w:rPr>
          <w:rFonts w:asciiTheme="majorBidi" w:hAnsiTheme="majorBidi" w:cstheme="majorBidi"/>
          <w:sz w:val="28"/>
          <w:szCs w:val="28"/>
          <w:rtl/>
        </w:rPr>
        <w:t>אמר רבי יצחק בר אבדימי: פעם אחת נכנסתי אחר רבי לבית המרחץ ובקשתי להניח לו פך של שמן באמבטי, ואמר לי: טול בכלי שני ותן. שמע מינה תלת, שמע מינה: שמן יש בו משום בשול, ושמע מינה: כלי שני אינו מבשל</w:t>
      </w:r>
    </w:p>
    <w:p w14:paraId="5DE957F0" w14:textId="18E2ACF1" w:rsidR="00E74E5D" w:rsidRPr="00F85A98" w:rsidRDefault="00E74E5D" w:rsidP="00853FB4">
      <w:pPr>
        <w:pStyle w:val="ListParagraph"/>
        <w:numPr>
          <w:ilvl w:val="0"/>
          <w:numId w:val="1"/>
        </w:numPr>
        <w:bidi/>
        <w:spacing w:line="360" w:lineRule="auto"/>
        <w:rPr>
          <w:rFonts w:asciiTheme="majorBidi" w:hAnsiTheme="majorBidi" w:cstheme="majorBidi"/>
          <w:sz w:val="28"/>
          <w:szCs w:val="28"/>
        </w:rPr>
      </w:pPr>
      <w:r w:rsidRPr="00853FB4">
        <w:rPr>
          <w:rFonts w:asciiTheme="majorBidi" w:hAnsiTheme="majorBidi" w:cs="Times New Roman"/>
          <w:b/>
          <w:bCs/>
          <w:sz w:val="28"/>
          <w:szCs w:val="28"/>
          <w:rtl/>
        </w:rPr>
        <w:t>רש"י מסכת שבת דף מ עמוד ב</w:t>
      </w:r>
      <w:r w:rsidRPr="00853FB4">
        <w:rPr>
          <w:rFonts w:asciiTheme="majorBidi" w:hAnsiTheme="majorBidi" w:cs="Times New Roman" w:hint="cs"/>
          <w:sz w:val="28"/>
          <w:szCs w:val="28"/>
          <w:rtl/>
        </w:rPr>
        <w:t xml:space="preserve">: </w:t>
      </w:r>
      <w:r w:rsidRPr="00853FB4">
        <w:rPr>
          <w:rFonts w:asciiTheme="majorBidi" w:hAnsiTheme="majorBidi" w:cs="Times New Roman"/>
          <w:b/>
          <w:bCs/>
          <w:sz w:val="28"/>
          <w:szCs w:val="28"/>
          <w:rtl/>
        </w:rPr>
        <w:t>נכנסתי</w:t>
      </w:r>
      <w:r w:rsidRPr="00853FB4">
        <w:rPr>
          <w:rFonts w:asciiTheme="majorBidi" w:hAnsiTheme="majorBidi" w:cs="Times New Roman"/>
          <w:sz w:val="28"/>
          <w:szCs w:val="28"/>
          <w:rtl/>
        </w:rPr>
        <w:t xml:space="preserve"> - בשבת, ובחמי טבריא הוה שלא נאסרו, כדאמר לעיל התירו להם חמי טבריא.</w:t>
      </w:r>
      <w:r w:rsidRPr="00853FB4">
        <w:rPr>
          <w:rFonts w:asciiTheme="majorBidi" w:hAnsiTheme="majorBidi" w:cs="Times New Roman" w:hint="cs"/>
          <w:sz w:val="28"/>
          <w:szCs w:val="28"/>
          <w:rtl/>
        </w:rPr>
        <w:t xml:space="preserve"> </w:t>
      </w:r>
      <w:r w:rsidRPr="00853FB4">
        <w:rPr>
          <w:rFonts w:asciiTheme="majorBidi" w:hAnsiTheme="majorBidi" w:cs="Times New Roman"/>
          <w:sz w:val="28"/>
          <w:szCs w:val="28"/>
          <w:rtl/>
        </w:rPr>
        <w:t> </w:t>
      </w:r>
      <w:r w:rsidRPr="00853FB4">
        <w:rPr>
          <w:rFonts w:asciiTheme="majorBidi" w:hAnsiTheme="majorBidi" w:cs="Times New Roman"/>
          <w:b/>
          <w:bCs/>
          <w:sz w:val="28"/>
          <w:szCs w:val="28"/>
          <w:rtl/>
        </w:rPr>
        <w:t>באמבטי</w:t>
      </w:r>
      <w:r w:rsidRPr="00853FB4">
        <w:rPr>
          <w:rFonts w:asciiTheme="majorBidi" w:hAnsiTheme="majorBidi" w:cs="Times New Roman"/>
          <w:sz w:val="28"/>
          <w:szCs w:val="28"/>
          <w:rtl/>
        </w:rPr>
        <w:t xml:space="preserve"> - כגון בריכה עשויה בקרקע, שהמים נכנסים שם ונאספין.</w:t>
      </w:r>
      <w:r w:rsidRPr="00853FB4">
        <w:rPr>
          <w:rFonts w:asciiTheme="majorBidi" w:hAnsiTheme="majorBidi" w:cs="Times New Roman" w:hint="cs"/>
          <w:sz w:val="28"/>
          <w:szCs w:val="28"/>
          <w:rtl/>
        </w:rPr>
        <w:t xml:space="preserve"> </w:t>
      </w:r>
      <w:r w:rsidRPr="00853FB4">
        <w:rPr>
          <w:rFonts w:asciiTheme="majorBidi" w:hAnsiTheme="majorBidi" w:cs="Times New Roman"/>
          <w:b/>
          <w:bCs/>
          <w:sz w:val="28"/>
          <w:szCs w:val="28"/>
          <w:rtl/>
        </w:rPr>
        <w:t> ובקשתי להניח שם פך שמן</w:t>
      </w:r>
      <w:r w:rsidRPr="00853FB4">
        <w:rPr>
          <w:rFonts w:asciiTheme="majorBidi" w:hAnsiTheme="majorBidi" w:cs="Times New Roman"/>
          <w:sz w:val="28"/>
          <w:szCs w:val="28"/>
          <w:rtl/>
        </w:rPr>
        <w:t xml:space="preserve"> - להפשיר, לסוך הימנו קודם הרחיצה.</w:t>
      </w:r>
      <w:r w:rsidRPr="00853FB4">
        <w:rPr>
          <w:rFonts w:asciiTheme="majorBidi" w:hAnsiTheme="majorBidi" w:cs="Times New Roman"/>
          <w:b/>
          <w:bCs/>
          <w:sz w:val="28"/>
          <w:szCs w:val="28"/>
          <w:rtl/>
        </w:rPr>
        <w:t> טול</w:t>
      </w:r>
      <w:r w:rsidRPr="00853FB4">
        <w:rPr>
          <w:rFonts w:asciiTheme="majorBidi" w:hAnsiTheme="majorBidi" w:cs="Times New Roman"/>
          <w:sz w:val="28"/>
          <w:szCs w:val="28"/>
          <w:rtl/>
        </w:rPr>
        <w:t xml:space="preserve"> - מן המים. </w:t>
      </w:r>
      <w:r w:rsidRPr="00853FB4">
        <w:rPr>
          <w:rFonts w:asciiTheme="majorBidi" w:hAnsiTheme="majorBidi" w:cs="Times New Roman"/>
          <w:b/>
          <w:bCs/>
          <w:sz w:val="28"/>
          <w:szCs w:val="28"/>
          <w:rtl/>
        </w:rPr>
        <w:t>בכלי שני</w:t>
      </w:r>
      <w:r w:rsidRPr="00853FB4">
        <w:rPr>
          <w:rFonts w:asciiTheme="majorBidi" w:hAnsiTheme="majorBidi" w:cs="Times New Roman"/>
          <w:sz w:val="28"/>
          <w:szCs w:val="28"/>
          <w:rtl/>
        </w:rPr>
        <w:t xml:space="preserve"> - שיצטננו מעט, דכלי שני אינו מבשל, ואחר כך תן הפך לתוך אותו כלי שני, דהך אמבטי שהחמין נמשכין לה מן המעיין חשיב לה ככלי ראשון שנרתחו בו, שאף על פי שהעבירו מעל האור - מבשל, כדתנן לקמן /שבת/ (מב, א) האילפס והקדירה שהעבירן מרותחין - לא יתן לתוכן תבלין.</w:t>
      </w:r>
    </w:p>
    <w:p w14:paraId="0D94150C" w14:textId="0D74065C" w:rsidR="006E2695" w:rsidRPr="00F85A98" w:rsidRDefault="006E2695" w:rsidP="00F85A98">
      <w:pPr>
        <w:pStyle w:val="ListParagraph"/>
        <w:numPr>
          <w:ilvl w:val="0"/>
          <w:numId w:val="1"/>
        </w:numPr>
        <w:bidi/>
        <w:spacing w:line="360" w:lineRule="auto"/>
        <w:rPr>
          <w:rFonts w:asciiTheme="majorBidi" w:hAnsiTheme="majorBidi" w:cstheme="majorBidi"/>
          <w:sz w:val="28"/>
          <w:szCs w:val="28"/>
        </w:rPr>
      </w:pPr>
      <w:r w:rsidRPr="00F85A98">
        <w:rPr>
          <w:rFonts w:asciiTheme="majorBidi" w:hAnsiTheme="majorBidi" w:cstheme="majorBidi"/>
          <w:b/>
          <w:bCs/>
          <w:sz w:val="28"/>
          <w:szCs w:val="28"/>
          <w:rtl/>
        </w:rPr>
        <w:t>חידושי הרשב"א מסכת שבת דף מ עמוד ב</w:t>
      </w:r>
      <w:r w:rsidRPr="00F85A98">
        <w:rPr>
          <w:rFonts w:asciiTheme="majorBidi" w:hAnsiTheme="majorBidi" w:cstheme="majorBidi"/>
          <w:sz w:val="28"/>
          <w:szCs w:val="28"/>
          <w:rtl/>
        </w:rPr>
        <w:t xml:space="preserve">: </w:t>
      </w:r>
      <w:r w:rsidRPr="00F85A98">
        <w:rPr>
          <w:rFonts w:asciiTheme="majorBidi" w:hAnsiTheme="majorBidi" w:cstheme="majorBidi"/>
          <w:sz w:val="28"/>
          <w:szCs w:val="28"/>
          <w:rtl/>
        </w:rPr>
        <w:t>אבל מכל מקום אין גירסתם עולה יפה דאם איתא מה לי ראשון מה לי שני כל מקום שהוא מתבשל אסור, דלא אמרו כלי ראשון וכלי שני אלא מפני שזה מבשל וזה אינו מבשל, ותנינן (לקמן קמ"ה ב') כל שבא בחמין מלפני השבת שורין אותו בחמין בשבת וכל שלא בא בחמין מלפני השבת מדיחין אותו בחמין בשבת חוץ מן המליח הישן וקולייס האיספנין שהדחתן זהו גמר מלאכתן, אלמא כל שהוא מתבשל בין בכלי ראשון בין בכלי שני ואפילו בהדחה בעלמא חייב</w:t>
      </w:r>
    </w:p>
    <w:p w14:paraId="3724B610" w14:textId="2D7FF50A" w:rsidR="006E2695" w:rsidRPr="00F85A98" w:rsidRDefault="006E2695" w:rsidP="00F85A98">
      <w:pPr>
        <w:pStyle w:val="ListParagraph"/>
        <w:numPr>
          <w:ilvl w:val="0"/>
          <w:numId w:val="1"/>
        </w:numPr>
        <w:bidi/>
        <w:spacing w:line="360" w:lineRule="auto"/>
        <w:rPr>
          <w:rFonts w:asciiTheme="majorBidi" w:hAnsiTheme="majorBidi" w:cstheme="majorBidi"/>
          <w:sz w:val="28"/>
          <w:szCs w:val="28"/>
        </w:rPr>
      </w:pPr>
      <w:r w:rsidRPr="00F85A98">
        <w:rPr>
          <w:rFonts w:asciiTheme="majorBidi" w:hAnsiTheme="majorBidi" w:cstheme="majorBidi"/>
          <w:b/>
          <w:bCs/>
          <w:sz w:val="28"/>
          <w:szCs w:val="28"/>
          <w:rtl/>
        </w:rPr>
        <w:t>תוספות מסכת שבת דף מ עמוד ב</w:t>
      </w:r>
      <w:r w:rsidRPr="00F85A98">
        <w:rPr>
          <w:rFonts w:asciiTheme="majorBidi" w:hAnsiTheme="majorBidi" w:cstheme="majorBidi"/>
          <w:sz w:val="28"/>
          <w:szCs w:val="28"/>
          <w:rtl/>
        </w:rPr>
        <w:t xml:space="preserve">: </w:t>
      </w:r>
      <w:r w:rsidRPr="00F85A98">
        <w:rPr>
          <w:rFonts w:asciiTheme="majorBidi" w:hAnsiTheme="majorBidi" w:cstheme="majorBidi"/>
          <w:sz w:val="28"/>
          <w:szCs w:val="28"/>
          <w:rtl/>
        </w:rPr>
        <w:t>ושמע מינה כלי שני אינו מבשל - תימה מאי שנא כלי שני מכלי ראשון דאי יד סולדת אפי' כלי שני נמי ואי אין יד סולדת אפילו כלי ראשון נמי אינו מבשל ויש לומר לפי שכלי ראשון מתוך שעמד על האור דופנותיו חמין ומחזיק חומו זמן מרובה ולכך נתנו בו שיעור דכל זמן שהיד סולדת בו אסור אבל כלי שני אף על גב דיד סולדת בו מותר שאין דופנותיו חמין והולך ומתקרר.</w:t>
      </w:r>
    </w:p>
    <w:p w14:paraId="20E83C21" w14:textId="765C2F7D" w:rsidR="006E2695" w:rsidRPr="00F85A98" w:rsidRDefault="006E2695" w:rsidP="00F85A98">
      <w:pPr>
        <w:pStyle w:val="ListParagraph"/>
        <w:numPr>
          <w:ilvl w:val="0"/>
          <w:numId w:val="1"/>
        </w:numPr>
        <w:bidi/>
        <w:spacing w:line="360" w:lineRule="auto"/>
        <w:rPr>
          <w:rFonts w:asciiTheme="majorBidi" w:hAnsiTheme="majorBidi" w:cstheme="majorBidi"/>
          <w:sz w:val="28"/>
          <w:szCs w:val="28"/>
        </w:rPr>
      </w:pPr>
      <w:r w:rsidRPr="00F85A98">
        <w:rPr>
          <w:rFonts w:asciiTheme="majorBidi" w:hAnsiTheme="majorBidi" w:cstheme="majorBidi"/>
          <w:b/>
          <w:bCs/>
          <w:sz w:val="28"/>
          <w:szCs w:val="28"/>
          <w:rtl/>
        </w:rPr>
        <w:t>אור שמח הלכות שבת פרק ט</w:t>
      </w:r>
      <w:r w:rsidRPr="00F85A98">
        <w:rPr>
          <w:rFonts w:asciiTheme="majorBidi" w:hAnsiTheme="majorBidi" w:cstheme="majorBidi"/>
          <w:b/>
          <w:bCs/>
          <w:sz w:val="28"/>
          <w:szCs w:val="28"/>
          <w:rtl/>
        </w:rPr>
        <w:t>:</w:t>
      </w:r>
      <w:r w:rsidRPr="00F85A98">
        <w:rPr>
          <w:rFonts w:asciiTheme="majorBidi" w:hAnsiTheme="majorBidi" w:cstheme="majorBidi"/>
          <w:sz w:val="28"/>
          <w:szCs w:val="28"/>
          <w:rtl/>
        </w:rPr>
        <w:t xml:space="preserve"> </w:t>
      </w:r>
      <w:r w:rsidRPr="00F85A98">
        <w:rPr>
          <w:rFonts w:asciiTheme="majorBidi" w:hAnsiTheme="majorBidi" w:cstheme="majorBidi"/>
          <w:sz w:val="28"/>
          <w:szCs w:val="28"/>
          <w:rtl/>
        </w:rPr>
        <w:t xml:space="preserve">וכיון שכן נראה לנו לומר בסברת הש"ס דקדירה דהיא עצמה מהני להבישול, עיין (פסחים) פרק כל שעה כ"ז ע"א דקדירה חשיב גורם, א"כ בכלי שני, אף כי איכא דבר המתבשל בכלי שני, וכלישנא קמא גבי מלח (שבת מב, ב), אם יהיב בכלי שני אינו חייב משום מבשל, דהמים של כלי ראשון הוחמו באור, והוי חום שלהן תולדת אש, ואח"ז מתחמם מתוכם הקדירה הכלי שני, וחום הכלי שני הוי תולדת תולדת האש, וחומה כחמי טבריא, וא"כ המלח מתבשל ע"י חום המים שחום שלהן תולדות אש וע"י חום הקדירה, דהוי חומה כחמי טבריא, ופטור משום מבשל. ובזה אתי שפיר בדף מ' ע"ב א"ר יצחק ב"א פעם אחת נכנסתי אחר רבי וכו', להניח לו פך שמן באמבטי, ואמר לי טול בכלי שני ותן, שמע מינה שמן יש בו משום בישול, ושמע מינה כלי שני אינו מבשל, ושמע מינה הפשרו זהו בישולו, דלפי גירסא זו קשה טובא, הא נפשר בכלי שני, והוי בישול מעליא גבי שמן, ואיך שרי, ופרש"י, ושמע מינה הפשירו במקום הראוי לבישול, דפירשו המפרשים דכיון דבכלי שני אינו ראוי לבישול אין ההפשר בישול, זה מוזר בטעמו, וכבר תמה על זה בעל מנחת כהן, אכן לפי מה שביארנו אתי שפיר, דכיון דבכלי שני אף דבר המתבשל אינו חייב משום בישול, </w:t>
      </w:r>
      <w:r w:rsidRPr="00F85A98">
        <w:rPr>
          <w:rFonts w:asciiTheme="majorBidi" w:hAnsiTheme="majorBidi" w:cstheme="majorBidi"/>
          <w:sz w:val="28"/>
          <w:szCs w:val="28"/>
          <w:rtl/>
        </w:rPr>
        <w:lastRenderedPageBreak/>
        <w:t>וכי גזרו בחמי טבריא מידי דבחמי האור היה חייב, אבל כלי שני כיון דבחמי האור ליכא חיובא תו נמי בחמי טבריא מותר, ואי הוי כלי שני מבשל תו הוי גזרינן אטו חמי האור, דיבא לבשל בכלי שני, ואף בכלי ראשון, דכיון דכלי שני גם כן מבשל ככלי ראשון אם כן ראשון ושני חדא גזירה היא, אבל כיון דאינו ראוי לבישול בכלי שני אם כן ההפשר לחודא דרק בשמן הוי בישול שרי בחמי טבריא בכלי שני, ואינו בכלל ענין בישול דגזרו בחמי טבריא אטו חמי האור, דעל כלי שני אין כאן חיוב חטאת על בשולו, והבן היטב, דהוי כמו גזירה לגזירה, דזה הפשירו של שמן אילו הי' כלי ראשון בחמי טבריא אינו אסור אלא משום גזירה, ואלו הי' בכלי שני בחמי האור גם כן אינו חייב אלא משום גזירה, הוי גזירה לגזירה, הכי הוא פירושא דסוגיא, והתוס' פירשו (דף ל"ט ע"א) בד"ה כל שבא בחמין, דהא דקתני מדיחין אותו בחמין מיירי בכלי שני ואפילו הכי תני חוץ מן המליח הישן, שהדחתן זו היא גמר מלאכתן קאי אכלי שני, ואמר שם הדיח חייב חטאת, מדתנא זו היא גמר מלאכתן מוכח דבכלי שני חייב חטאת, דבישול הוי בהדחה בעלמא, ויש לדחות, דמהא דהדחה הוי גמר מלאכה והוי בישול מעליא מוכח דאם הדיח בכלי ראשון חייב חטאת, ודו"ק, ובפרט לפי הך שיטה דמדיחין מכלי ראשון הוא אין סתירה.</w:t>
      </w:r>
    </w:p>
    <w:p w14:paraId="0BD31CF1" w14:textId="77777777" w:rsidR="00F85A98" w:rsidRDefault="00246254" w:rsidP="00F85A98">
      <w:pPr>
        <w:pStyle w:val="ListParagraph"/>
        <w:numPr>
          <w:ilvl w:val="0"/>
          <w:numId w:val="1"/>
        </w:numPr>
        <w:bidi/>
        <w:spacing w:line="360" w:lineRule="auto"/>
        <w:rPr>
          <w:rFonts w:asciiTheme="majorBidi" w:hAnsiTheme="majorBidi" w:cstheme="majorBidi"/>
          <w:sz w:val="28"/>
          <w:szCs w:val="28"/>
        </w:rPr>
      </w:pPr>
      <w:r w:rsidRPr="00F85A98">
        <w:rPr>
          <w:rFonts w:asciiTheme="majorBidi" w:hAnsiTheme="majorBidi" w:cstheme="majorBidi"/>
          <w:sz w:val="28"/>
          <w:szCs w:val="28"/>
          <w:rtl/>
        </w:rPr>
        <w:t>שולחן שלמה שיח יא:</w:t>
      </w:r>
      <w:r w:rsidRPr="00F85A98">
        <w:rPr>
          <w:rFonts w:asciiTheme="majorBidi" w:hAnsiTheme="majorBidi" w:cstheme="majorBidi"/>
          <w:noProof/>
          <w:sz w:val="28"/>
          <w:szCs w:val="28"/>
        </w:rPr>
        <w:t xml:space="preserve"> </w:t>
      </w:r>
    </w:p>
    <w:p w14:paraId="288913D2" w14:textId="30822506" w:rsidR="00246254" w:rsidRPr="00F85A98" w:rsidRDefault="00246254" w:rsidP="00F85A98">
      <w:pPr>
        <w:pStyle w:val="ListParagraph"/>
        <w:bidi/>
        <w:spacing w:line="360" w:lineRule="auto"/>
        <w:rPr>
          <w:rFonts w:asciiTheme="majorBidi" w:hAnsiTheme="majorBidi" w:cstheme="majorBidi"/>
          <w:sz w:val="28"/>
          <w:szCs w:val="28"/>
        </w:rPr>
      </w:pPr>
      <w:r w:rsidRPr="00F85A98">
        <w:rPr>
          <w:rFonts w:asciiTheme="majorBidi" w:hAnsiTheme="majorBidi" w:cstheme="majorBidi"/>
          <w:sz w:val="28"/>
          <w:szCs w:val="28"/>
          <w:rtl/>
        </w:rPr>
        <w:drawing>
          <wp:inline distT="0" distB="0" distL="0" distR="0" wp14:anchorId="76C2EF7D" wp14:editId="2F6A94D6">
            <wp:extent cx="2953162" cy="4182059"/>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stretch>
                      <a:fillRect/>
                    </a:stretch>
                  </pic:blipFill>
                  <pic:spPr>
                    <a:xfrm>
                      <a:off x="0" y="0"/>
                      <a:ext cx="2953162" cy="4182059"/>
                    </a:xfrm>
                    <a:prstGeom prst="rect">
                      <a:avLst/>
                    </a:prstGeom>
                  </pic:spPr>
                </pic:pic>
              </a:graphicData>
            </a:graphic>
          </wp:inline>
        </w:drawing>
      </w:r>
    </w:p>
    <w:sectPr w:rsidR="00246254" w:rsidRPr="00F85A98" w:rsidSect="00F85A98">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4C444" w14:textId="77777777" w:rsidR="002E661D" w:rsidRDefault="002E661D" w:rsidP="00B40188">
      <w:pPr>
        <w:spacing w:after="0" w:line="240" w:lineRule="auto"/>
      </w:pPr>
      <w:r>
        <w:separator/>
      </w:r>
    </w:p>
  </w:endnote>
  <w:endnote w:type="continuationSeparator" w:id="0">
    <w:p w14:paraId="0AFC25DA" w14:textId="77777777" w:rsidR="002E661D" w:rsidRDefault="002E661D" w:rsidP="00B4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830DD" w14:textId="77777777" w:rsidR="002E661D" w:rsidRDefault="002E661D" w:rsidP="00B40188">
      <w:pPr>
        <w:spacing w:after="0" w:line="240" w:lineRule="auto"/>
      </w:pPr>
      <w:r>
        <w:separator/>
      </w:r>
    </w:p>
  </w:footnote>
  <w:footnote w:type="continuationSeparator" w:id="0">
    <w:p w14:paraId="0F6890DE" w14:textId="77777777" w:rsidR="002E661D" w:rsidRDefault="002E661D" w:rsidP="00B40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9598" w14:textId="53151172" w:rsidR="00B40188" w:rsidRDefault="00B40188" w:rsidP="00B40188">
    <w:pPr>
      <w:pStyle w:val="Header"/>
      <w:bidi/>
    </w:pPr>
    <w:r>
      <w:rPr>
        <w:rFonts w:hint="cs"/>
        <w:rtl/>
      </w:rPr>
      <w:t>מובן כלי שני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F5104"/>
    <w:multiLevelType w:val="hybridMultilevel"/>
    <w:tmpl w:val="27042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18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95"/>
    <w:rsid w:val="00246254"/>
    <w:rsid w:val="002E661D"/>
    <w:rsid w:val="006E2695"/>
    <w:rsid w:val="00853FB4"/>
    <w:rsid w:val="00B40188"/>
    <w:rsid w:val="00E74E5D"/>
    <w:rsid w:val="00F85A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2D61"/>
  <w15:chartTrackingRefBased/>
  <w15:docId w15:val="{BA306EEC-0D51-4D9A-ACEE-EA8FF982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695"/>
    <w:pPr>
      <w:ind w:left="720"/>
      <w:contextualSpacing/>
    </w:pPr>
  </w:style>
  <w:style w:type="paragraph" w:styleId="Header">
    <w:name w:val="header"/>
    <w:basedOn w:val="Normal"/>
    <w:link w:val="HeaderChar"/>
    <w:uiPriority w:val="99"/>
    <w:unhideWhenUsed/>
    <w:rsid w:val="00B401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40188"/>
  </w:style>
  <w:style w:type="paragraph" w:styleId="Footer">
    <w:name w:val="footer"/>
    <w:basedOn w:val="Normal"/>
    <w:link w:val="FooterChar"/>
    <w:uiPriority w:val="99"/>
    <w:unhideWhenUsed/>
    <w:rsid w:val="00B401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4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Yosef A.</dc:creator>
  <cp:keywords/>
  <dc:description/>
  <cp:lastModifiedBy>Cohen, Yosef A.</cp:lastModifiedBy>
  <cp:revision>5</cp:revision>
  <dcterms:created xsi:type="dcterms:W3CDTF">2023-02-19T12:08:00Z</dcterms:created>
  <dcterms:modified xsi:type="dcterms:W3CDTF">2023-02-19T12:26:00Z</dcterms:modified>
</cp:coreProperties>
</file>